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D998F" w14:textId="77777777" w:rsidR="002842B3" w:rsidRDefault="002842B3" w:rsidP="002842B3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DB2C16">
        <w:rPr>
          <w:bCs/>
          <w:sz w:val="28"/>
          <w:szCs w:val="28"/>
          <w:highlight w:val="yellow"/>
        </w:rPr>
        <w:t>4 МНОГОЛЕТНЕЕ РЕГУЛИРОВАНИЕ СТОКА</w:t>
      </w:r>
    </w:p>
    <w:p w14:paraId="5368D91E" w14:textId="77777777" w:rsidR="002842B3" w:rsidRDefault="002842B3" w:rsidP="002842B3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14:paraId="785E2963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BF51DC">
        <w:rPr>
          <w:b/>
          <w:bCs/>
          <w:sz w:val="28"/>
          <w:szCs w:val="28"/>
        </w:rPr>
        <w:t>4.1. Сущность и общая методика расчета</w:t>
      </w:r>
      <w:r>
        <w:rPr>
          <w:b/>
          <w:bCs/>
          <w:sz w:val="28"/>
          <w:szCs w:val="28"/>
        </w:rPr>
        <w:t xml:space="preserve"> </w:t>
      </w:r>
      <w:r w:rsidRPr="00BF51DC">
        <w:rPr>
          <w:b/>
          <w:bCs/>
          <w:sz w:val="28"/>
          <w:szCs w:val="28"/>
        </w:rPr>
        <w:t>многолетнего регулирования стока</w:t>
      </w:r>
    </w:p>
    <w:p w14:paraId="4F66C4D5" w14:textId="77777777" w:rsidR="002842B3" w:rsidRPr="000B2BEB" w:rsidRDefault="002842B3" w:rsidP="002842B3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</w:p>
    <w:p w14:paraId="349A019C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Если регулирование стока в пределах года недостаточно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для покрытия потребности в воде с заданной обеспеченностью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i/>
          <w:iCs/>
          <w:sz w:val="28"/>
          <w:szCs w:val="28"/>
        </w:rPr>
        <w:t xml:space="preserve">(Wр &lt; Uбр), </w:t>
      </w:r>
      <w:r w:rsidRPr="00BF51DC">
        <w:rPr>
          <w:rFonts w:eastAsia="TimesNewRoman"/>
          <w:sz w:val="28"/>
          <w:szCs w:val="28"/>
        </w:rPr>
        <w:t>то применяют многолетнее регулирование стока.</w:t>
      </w:r>
    </w:p>
    <w:p w14:paraId="133C9C89" w14:textId="77777777" w:rsidR="002842B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Многолетнее регулирова</w:t>
      </w:r>
      <w:r>
        <w:rPr>
          <w:rFonts w:eastAsia="TimesNewRoman"/>
          <w:sz w:val="28"/>
          <w:szCs w:val="28"/>
        </w:rPr>
        <w:t>ние – это перераспределение сто</w:t>
      </w:r>
      <w:r w:rsidRPr="00BF51DC">
        <w:rPr>
          <w:rFonts w:eastAsia="TimesNewRoman"/>
          <w:sz w:val="28"/>
          <w:szCs w:val="28"/>
        </w:rPr>
        <w:t>ка в течение многолетнего периода. В этом случае потребность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воде в маловодные годы обеспе</w:t>
      </w:r>
      <w:r>
        <w:rPr>
          <w:rFonts w:eastAsia="TimesNewRoman"/>
          <w:sz w:val="28"/>
          <w:szCs w:val="28"/>
        </w:rPr>
        <w:t>чивается за счет стока и сработ</w:t>
      </w:r>
      <w:r w:rsidRPr="00BF51DC">
        <w:rPr>
          <w:rFonts w:eastAsia="TimesNewRoman"/>
          <w:sz w:val="28"/>
          <w:szCs w:val="28"/>
        </w:rPr>
        <w:t>ки запасов воды в водохранилище, накопленной в многоводные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годы.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Водохранилище многолетнего регулирования используют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для сезонного регулирования стока. Поэтому полезный объем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водохранилища многолетнего</w:t>
      </w:r>
      <w:r>
        <w:rPr>
          <w:rFonts w:eastAsia="TimesNewRoman"/>
          <w:sz w:val="28"/>
          <w:szCs w:val="28"/>
        </w:rPr>
        <w:t xml:space="preserve"> регулирования стока условно де</w:t>
      </w:r>
      <w:r w:rsidRPr="00BF51DC">
        <w:rPr>
          <w:rFonts w:eastAsia="TimesNewRoman"/>
          <w:sz w:val="28"/>
          <w:szCs w:val="28"/>
        </w:rPr>
        <w:t>лят на многолетнюю и сезонную составляющие:</w:t>
      </w:r>
    </w:p>
    <w:p w14:paraId="174DE59A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226DF068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Vплз = Vмн. + Vсез., (4.1)</w:t>
      </w:r>
    </w:p>
    <w:p w14:paraId="6EAC86BE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6BBA135E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Vмн. и Vсез. – многолетн</w:t>
      </w:r>
      <w:r>
        <w:rPr>
          <w:rFonts w:eastAsia="TimesNewRoman"/>
          <w:sz w:val="28"/>
          <w:szCs w:val="28"/>
        </w:rPr>
        <w:t>яя и сезонная составляющие объе</w:t>
      </w:r>
      <w:r w:rsidRPr="00BF51DC">
        <w:rPr>
          <w:rFonts w:eastAsia="TimesNewRoman"/>
          <w:sz w:val="28"/>
          <w:szCs w:val="28"/>
        </w:rPr>
        <w:t>ма, м3.</w:t>
      </w:r>
    </w:p>
    <w:p w14:paraId="5C85F029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Период сработки многолетней сос</w:t>
      </w:r>
      <w:r>
        <w:rPr>
          <w:rFonts w:eastAsia="TimesNewRoman"/>
          <w:sz w:val="28"/>
          <w:szCs w:val="28"/>
        </w:rPr>
        <w:t>тавляющей может изме</w:t>
      </w:r>
      <w:r w:rsidRPr="00BF51DC">
        <w:rPr>
          <w:rFonts w:eastAsia="TimesNewRoman"/>
          <w:sz w:val="28"/>
          <w:szCs w:val="28"/>
        </w:rPr>
        <w:t>няться от одного года до нес</w:t>
      </w:r>
      <w:r>
        <w:rPr>
          <w:rFonts w:eastAsia="TimesNewRoman"/>
          <w:sz w:val="28"/>
          <w:szCs w:val="28"/>
        </w:rPr>
        <w:t>кольких лет, сезонная составляю</w:t>
      </w:r>
      <w:r w:rsidRPr="00BF51DC">
        <w:rPr>
          <w:rFonts w:eastAsia="TimesNewRoman"/>
          <w:sz w:val="28"/>
          <w:szCs w:val="28"/>
        </w:rPr>
        <w:t>щая используется ежегодно.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Емкость водохранилища многолетнего регулирования не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должна быть чрезмерно большой – не более 2-3 годовых стоков.</w:t>
      </w:r>
    </w:p>
    <w:p w14:paraId="195B4E35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расчетах многолетнего регулир</w:t>
      </w:r>
      <w:r>
        <w:rPr>
          <w:rFonts w:eastAsia="TimesNewRoman"/>
          <w:sz w:val="28"/>
          <w:szCs w:val="28"/>
        </w:rPr>
        <w:t>ования стока за расч</w:t>
      </w:r>
      <w:r w:rsidRPr="00BF51DC">
        <w:rPr>
          <w:rFonts w:eastAsia="TimesNewRoman"/>
          <w:sz w:val="28"/>
          <w:szCs w:val="28"/>
        </w:rPr>
        <w:t>етный интервал времени Δt обычно принимают год; колебание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стока и отдачи в течение расчетного интервала не учитывают.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Сток, отдачу, объем водохранилища и другие параметры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при многолетнем регулировании выражаются как в абсолютных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величинах (млн м3), так и отн</w:t>
      </w:r>
      <w:r>
        <w:rPr>
          <w:rFonts w:eastAsia="TimesNewRoman"/>
          <w:sz w:val="28"/>
          <w:szCs w:val="28"/>
        </w:rPr>
        <w:t>осительных, т.е. в долях средне</w:t>
      </w:r>
      <w:r w:rsidRPr="00BF51DC">
        <w:rPr>
          <w:rFonts w:eastAsia="TimesNewRoman"/>
          <w:sz w:val="28"/>
          <w:szCs w:val="28"/>
        </w:rPr>
        <w:t xml:space="preserve">многолетнего объема стока </w:t>
      </w:r>
      <w:r w:rsidRPr="00BF51DC">
        <w:rPr>
          <w:i/>
          <w:iCs/>
          <w:sz w:val="28"/>
          <w:szCs w:val="28"/>
        </w:rPr>
        <w:t>W0</w:t>
      </w:r>
      <w:r w:rsidRPr="00BF51DC">
        <w:rPr>
          <w:rFonts w:eastAsia="TimesNewRoman"/>
          <w:sz w:val="28"/>
          <w:szCs w:val="28"/>
        </w:rPr>
        <w:t>.</w:t>
      </w:r>
    </w:p>
    <w:p w14:paraId="5ED3FDA6" w14:textId="77777777" w:rsidR="002842B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Сток в долях среднемно</w:t>
      </w:r>
      <w:r>
        <w:rPr>
          <w:rFonts w:eastAsia="TimesNewRoman"/>
          <w:sz w:val="28"/>
          <w:szCs w:val="28"/>
        </w:rPr>
        <w:t>голетнего объема стока называет</w:t>
      </w:r>
      <w:r w:rsidRPr="00BF51DC">
        <w:rPr>
          <w:rFonts w:eastAsia="TimesNewRoman"/>
          <w:sz w:val="28"/>
          <w:szCs w:val="28"/>
        </w:rPr>
        <w:t>ся модульным коэффициентом стока:</w:t>
      </w:r>
    </w:p>
    <w:p w14:paraId="05B6C491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4F9F9A6F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Кi = Wi/W0. (4.2)</w:t>
      </w:r>
    </w:p>
    <w:p w14:paraId="38F47129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14A60DC2" w14:textId="77777777" w:rsidR="002842B3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Отдача водохранилища – коэффициентом регулирования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стока:</w:t>
      </w:r>
    </w:p>
    <w:p w14:paraId="416A997A" w14:textId="77777777" w:rsidR="002842B3" w:rsidRPr="00BF51DC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318EBA88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α = U/W0. (4.3)</w:t>
      </w:r>
    </w:p>
    <w:p w14:paraId="4B96CBBF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73133E24" w14:textId="77777777" w:rsidR="002842B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Объем водохранилища характеризуется коэффициентом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емкости водохранилища и представляет отношение полезного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объема к среднегодовому стоку водного объекта:</w:t>
      </w:r>
    </w:p>
    <w:p w14:paraId="4443F087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D6F31D9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βп = Vплз/W0. (4.4)</w:t>
      </w:r>
    </w:p>
    <w:p w14:paraId="2DD844A0" w14:textId="77777777" w:rsidR="002842B3" w:rsidRPr="00BF51DC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CCD6C17" w14:textId="77777777" w:rsidR="002842B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lastRenderedPageBreak/>
        <w:t>Различают также степень использования стока,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характеризуемую коэффициентом использования стока:</w:t>
      </w:r>
    </w:p>
    <w:p w14:paraId="4FB89083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68CC97A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 xml:space="preserve"> </w:t>
      </w:r>
      <w:r w:rsidRPr="00DF69F5">
        <w:rPr>
          <w:rFonts w:eastAsia="TimesNewRoman"/>
          <w:position w:val="-24"/>
          <w:sz w:val="28"/>
          <w:szCs w:val="28"/>
        </w:rPr>
        <w:object w:dxaOrig="1300" w:dyaOrig="639" w14:anchorId="24BBAC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8pt;height:31.8pt" o:ole="">
            <v:imagedata r:id="rId4" o:title=""/>
          </v:shape>
          <o:OLEObject Type="Embed" ProgID="Equation.3" ShapeID="_x0000_i1025" DrawAspect="Content" ObjectID="_1646135568" r:id="rId5"/>
        </w:object>
      </w:r>
      <w:r w:rsidRPr="00BF51DC">
        <w:rPr>
          <w:rFonts w:eastAsia="TimesNewRoman"/>
          <w:sz w:val="28"/>
          <w:szCs w:val="28"/>
        </w:rPr>
        <w:t>, (4.5)</w:t>
      </w:r>
    </w:p>
    <w:p w14:paraId="121A5000" w14:textId="77777777" w:rsidR="002842B3" w:rsidRPr="00BF51DC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67BBB16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Vпот – годовой объем потерь;</w:t>
      </w:r>
    </w:p>
    <w:p w14:paraId="23C4FF7B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Vсб – среднегодовой объем холостого сброса.</w:t>
      </w:r>
    </w:p>
    <w:p w14:paraId="5789C5E8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Показатели α и η являются основными характеристиками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условий регулирования сто</w:t>
      </w:r>
      <w:r>
        <w:rPr>
          <w:rFonts w:eastAsia="TimesNewRoman"/>
          <w:sz w:val="28"/>
          <w:szCs w:val="28"/>
        </w:rPr>
        <w:t>ка и определяют условия обслужи</w:t>
      </w:r>
      <w:r w:rsidRPr="00BF51DC">
        <w:rPr>
          <w:rFonts w:eastAsia="TimesNewRoman"/>
          <w:sz w:val="28"/>
          <w:szCs w:val="28"/>
        </w:rPr>
        <w:t>вания потребителей воды: размер полезной отдачи, долю потерь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т.п. При регулировании сток</w:t>
      </w:r>
      <w:r>
        <w:rPr>
          <w:rFonts w:eastAsia="TimesNewRoman"/>
          <w:sz w:val="28"/>
          <w:szCs w:val="28"/>
        </w:rPr>
        <w:t>а на жесткий график отдачи с от</w:t>
      </w:r>
      <w:r w:rsidRPr="00BF51DC">
        <w:rPr>
          <w:rFonts w:eastAsia="TimesNewRoman"/>
          <w:sz w:val="28"/>
          <w:szCs w:val="28"/>
        </w:rPr>
        <w:t>носительно высокой обеспеченностью коэффициенты α и η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практически совпадают. При невысокой обеспеченности, т.е.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при частых перебоях, α </w:t>
      </w:r>
      <w:r w:rsidRPr="00BF51DC">
        <w:rPr>
          <w:sz w:val="28"/>
          <w:szCs w:val="28"/>
        </w:rPr>
        <w:t xml:space="preserve">&gt; </w:t>
      </w:r>
      <w:r w:rsidRPr="00BF51DC">
        <w:rPr>
          <w:rFonts w:eastAsia="TimesNewRoman"/>
          <w:sz w:val="28"/>
          <w:szCs w:val="28"/>
        </w:rPr>
        <w:t>η.</w:t>
      </w:r>
    </w:p>
    <w:p w14:paraId="5B7A4646" w14:textId="77777777" w:rsidR="002842B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водохозяйственных</w:t>
      </w:r>
      <w:r>
        <w:rPr>
          <w:rFonts w:eastAsia="TimesNewRoman"/>
          <w:sz w:val="28"/>
          <w:szCs w:val="28"/>
        </w:rPr>
        <w:t xml:space="preserve"> расчетах многолетнего регулиро</w:t>
      </w:r>
      <w:r w:rsidRPr="00BF51DC">
        <w:rPr>
          <w:rFonts w:eastAsia="TimesNewRoman"/>
          <w:sz w:val="28"/>
          <w:szCs w:val="28"/>
        </w:rPr>
        <w:t>вания стока применяют как б</w:t>
      </w:r>
      <w:r>
        <w:rPr>
          <w:rFonts w:eastAsia="TimesNewRoman"/>
          <w:sz w:val="28"/>
          <w:szCs w:val="28"/>
        </w:rPr>
        <w:t>алансовые методы с использовани</w:t>
      </w:r>
      <w:r w:rsidRPr="00BF51DC">
        <w:rPr>
          <w:rFonts w:eastAsia="TimesNewRoman"/>
          <w:sz w:val="28"/>
          <w:szCs w:val="28"/>
        </w:rPr>
        <w:t>ем календарных рядов длит</w:t>
      </w:r>
      <w:r>
        <w:rPr>
          <w:rFonts w:eastAsia="TimesNewRoman"/>
          <w:sz w:val="28"/>
          <w:szCs w:val="28"/>
        </w:rPr>
        <w:t>ельных гидрометрических наблюде</w:t>
      </w:r>
      <w:r w:rsidRPr="00BF51DC">
        <w:rPr>
          <w:rFonts w:eastAsia="TimesNewRoman"/>
          <w:sz w:val="28"/>
          <w:szCs w:val="28"/>
        </w:rPr>
        <w:t>ний, так и обобщенные методы, в основу которых положено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представление о речном стоке как вероятностном процессе.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Очень часто эти методы дополняют друг друга.</w:t>
      </w:r>
    </w:p>
    <w:p w14:paraId="7CE6C1F8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3BAC3F6E" w14:textId="77777777" w:rsidR="002842B3" w:rsidRDefault="002842B3" w:rsidP="002842B3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BF51DC">
        <w:rPr>
          <w:b/>
          <w:bCs/>
          <w:sz w:val="28"/>
          <w:szCs w:val="28"/>
        </w:rPr>
        <w:t>4.2. Расчеты многолетнего регулирования стока</w:t>
      </w:r>
      <w:r>
        <w:rPr>
          <w:b/>
          <w:bCs/>
          <w:sz w:val="28"/>
          <w:szCs w:val="28"/>
        </w:rPr>
        <w:t xml:space="preserve"> </w:t>
      </w:r>
      <w:r w:rsidRPr="00BF51DC">
        <w:rPr>
          <w:b/>
          <w:bCs/>
          <w:sz w:val="28"/>
          <w:szCs w:val="28"/>
        </w:rPr>
        <w:t>по календарным гидрологическим рядам</w:t>
      </w:r>
    </w:p>
    <w:p w14:paraId="5A0A2E02" w14:textId="77777777" w:rsidR="002842B3" w:rsidRPr="00BF51DC" w:rsidRDefault="002842B3" w:rsidP="002842B3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14:paraId="5393F4C4" w14:textId="77777777" w:rsidR="002842B3" w:rsidRPr="0086153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861533">
        <w:rPr>
          <w:rFonts w:eastAsia="TimesNewRoman"/>
          <w:sz w:val="28"/>
          <w:szCs w:val="28"/>
        </w:rPr>
        <w:t xml:space="preserve">Расчеты многолетнего регулирования стока по календарным рядам применяют при наличии достаточно продолжительного периода гидрометрических наблюдений </w:t>
      </w:r>
      <w:r w:rsidRPr="00861533">
        <w:rPr>
          <w:i/>
          <w:iCs/>
          <w:sz w:val="28"/>
          <w:szCs w:val="28"/>
        </w:rPr>
        <w:t xml:space="preserve">(п &gt; </w:t>
      </w:r>
      <w:r w:rsidRPr="00861533">
        <w:rPr>
          <w:rFonts w:eastAsia="TimesNewRoman"/>
          <w:sz w:val="28"/>
          <w:szCs w:val="28"/>
        </w:rPr>
        <w:t>60 лет). Расчеты выполняют таблично-цифровым или графическим способами, отдельно вычисляя сезонную Vсез. и многолетнюю Vмн. составляющие полезного объема.</w:t>
      </w:r>
    </w:p>
    <w:p w14:paraId="6E21EE93" w14:textId="77777777" w:rsidR="002842B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861533">
        <w:rPr>
          <w:rFonts w:eastAsia="TimesNewRoman"/>
          <w:sz w:val="28"/>
          <w:szCs w:val="28"/>
        </w:rPr>
        <w:t>Особенностью расчета водохранилища многолетнего регулирования является то, что полезная отдача обычно заранее жестко не задается. Задача ставится более широко: задаваясь различными значениями потребления, определить для каждого из них необходимый объем водохранилища, а затем на основе технико-экономических расчетов выбрать наивыгоднейший вариант и соответствующие этому</w:t>
      </w:r>
      <w:r w:rsidRPr="00BF51DC">
        <w:rPr>
          <w:rFonts w:eastAsia="TimesNewRoman"/>
          <w:sz w:val="28"/>
          <w:szCs w:val="28"/>
        </w:rPr>
        <w:t xml:space="preserve"> варианту объем водохранилища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и годовой объем отдачи.</w:t>
      </w:r>
    </w:p>
    <w:p w14:paraId="26CA6268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3D2E03ED" w14:textId="77777777" w:rsidR="002842B3" w:rsidRPr="00ED368B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861533">
        <w:rPr>
          <w:bCs/>
          <w:iCs/>
          <w:sz w:val="28"/>
          <w:szCs w:val="28"/>
        </w:rPr>
        <w:t>4.2.1. Расчет сезонной составляющей объема</w:t>
      </w:r>
      <w:r>
        <w:rPr>
          <w:bCs/>
          <w:iCs/>
          <w:sz w:val="28"/>
          <w:szCs w:val="28"/>
        </w:rPr>
        <w:t xml:space="preserve">. </w:t>
      </w:r>
      <w:r w:rsidRPr="00BF51DC">
        <w:rPr>
          <w:rFonts w:eastAsia="TimesNewRoman"/>
          <w:sz w:val="28"/>
          <w:szCs w:val="28"/>
        </w:rPr>
        <w:t>Сезонную составляющую объема в долях среднегодового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стока βсез приближенно рас</w:t>
      </w:r>
      <w:r>
        <w:rPr>
          <w:rFonts w:eastAsia="TimesNewRoman"/>
          <w:sz w:val="28"/>
          <w:szCs w:val="28"/>
        </w:rPr>
        <w:t>считывают из условия необходимо</w:t>
      </w:r>
      <w:r w:rsidRPr="00BF51DC">
        <w:rPr>
          <w:rFonts w:eastAsia="TimesNewRoman"/>
          <w:sz w:val="28"/>
          <w:szCs w:val="28"/>
        </w:rPr>
        <w:t>сти покрытия сезонных дефицитов в воде в первый год после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окончания маловодного периода, то есть когда многолетний з</w:t>
      </w:r>
      <w:r>
        <w:rPr>
          <w:rFonts w:eastAsia="TimesNewRoman"/>
          <w:sz w:val="28"/>
          <w:szCs w:val="28"/>
        </w:rPr>
        <w:t>а</w:t>
      </w:r>
      <w:r w:rsidRPr="00BF51DC">
        <w:rPr>
          <w:rFonts w:eastAsia="TimesNewRoman"/>
          <w:sz w:val="28"/>
          <w:szCs w:val="28"/>
        </w:rPr>
        <w:t>пас исчерпан. При этом исход</w:t>
      </w:r>
      <w:r>
        <w:rPr>
          <w:rFonts w:eastAsia="TimesNewRoman"/>
          <w:sz w:val="28"/>
          <w:szCs w:val="28"/>
        </w:rPr>
        <w:t>ят из среднемноголетнего распре</w:t>
      </w:r>
      <w:r w:rsidRPr="00BF51DC">
        <w:rPr>
          <w:rFonts w:eastAsia="TimesNewRoman"/>
          <w:sz w:val="28"/>
          <w:szCs w:val="28"/>
        </w:rPr>
        <w:t>деления стока по сезонам как наиболее характерного для данной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реки. Считают, что в расчетном году сток равен отдаче Кpг = α.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Год делят на два сезона – пол</w:t>
      </w:r>
      <w:r>
        <w:rPr>
          <w:rFonts w:eastAsia="TimesNewRoman"/>
          <w:sz w:val="28"/>
          <w:szCs w:val="28"/>
        </w:rPr>
        <w:t>оводье и межень. Отдача принима</w:t>
      </w:r>
      <w:r w:rsidRPr="00BF51DC">
        <w:rPr>
          <w:rFonts w:eastAsia="TimesNewRoman"/>
          <w:sz w:val="28"/>
          <w:szCs w:val="28"/>
        </w:rPr>
        <w:t>ется постоянной в течение все</w:t>
      </w:r>
      <w:r>
        <w:rPr>
          <w:rFonts w:eastAsia="TimesNewRoman"/>
          <w:sz w:val="28"/>
          <w:szCs w:val="28"/>
        </w:rPr>
        <w:t>го расчетного года. При этих ус</w:t>
      </w:r>
      <w:r w:rsidRPr="00BF51DC">
        <w:rPr>
          <w:rFonts w:eastAsia="TimesNewRoman"/>
          <w:sz w:val="28"/>
          <w:szCs w:val="28"/>
        </w:rPr>
        <w:t>ловиях расчетную схему мож</w:t>
      </w:r>
      <w:r>
        <w:rPr>
          <w:rFonts w:eastAsia="TimesNewRoman"/>
          <w:sz w:val="28"/>
          <w:szCs w:val="28"/>
        </w:rPr>
        <w:t>но представить в виде полных ин</w:t>
      </w:r>
      <w:r w:rsidRPr="00BF51DC">
        <w:rPr>
          <w:rFonts w:eastAsia="TimesNewRoman"/>
          <w:sz w:val="28"/>
          <w:szCs w:val="28"/>
        </w:rPr>
        <w:t xml:space="preserve">тегральных </w:t>
      </w:r>
      <w:r w:rsidRPr="00BF51DC">
        <w:rPr>
          <w:rFonts w:eastAsia="TimesNewRoman"/>
          <w:sz w:val="28"/>
          <w:szCs w:val="28"/>
        </w:rPr>
        <w:lastRenderedPageBreak/>
        <w:t xml:space="preserve">кривых стока и </w:t>
      </w:r>
      <w:r>
        <w:rPr>
          <w:rFonts w:eastAsia="TimesNewRoman"/>
          <w:sz w:val="28"/>
          <w:szCs w:val="28"/>
        </w:rPr>
        <w:t>отдачи, построенных в безразмер</w:t>
      </w:r>
      <w:r w:rsidRPr="00BF51DC">
        <w:rPr>
          <w:rFonts w:eastAsia="TimesNewRoman"/>
          <w:sz w:val="28"/>
          <w:szCs w:val="28"/>
        </w:rPr>
        <w:t xml:space="preserve">ных координатах: по оси </w:t>
      </w:r>
      <w:r>
        <w:rPr>
          <w:rFonts w:eastAsia="TimesNewRoman"/>
          <w:sz w:val="28"/>
          <w:szCs w:val="28"/>
        </w:rPr>
        <w:t xml:space="preserve">ординат отложена сумма модульных </w:t>
      </w:r>
      <w:r w:rsidRPr="00BF51DC">
        <w:rPr>
          <w:rFonts w:eastAsia="TimesNewRoman"/>
          <w:sz w:val="28"/>
          <w:szCs w:val="28"/>
        </w:rPr>
        <w:t>коэффициентов стока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sz w:val="28"/>
          <w:szCs w:val="28"/>
        </w:rPr>
        <w:t xml:space="preserve">Σ </w:t>
      </w:r>
      <w:r w:rsidRPr="00BF51DC">
        <w:rPr>
          <w:i/>
          <w:iCs/>
          <w:sz w:val="28"/>
          <w:szCs w:val="28"/>
        </w:rPr>
        <w:t xml:space="preserve"> К</w:t>
      </w:r>
      <w:r>
        <w:rPr>
          <w:i/>
          <w:iCs/>
          <w:sz w:val="28"/>
          <w:szCs w:val="28"/>
          <w:vertAlign w:val="subscript"/>
          <w:lang w:val="en-US"/>
        </w:rPr>
        <w:t>i</w:t>
      </w:r>
      <w:r w:rsidRPr="00BF51DC">
        <w:rPr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=</w:t>
      </w:r>
      <w:r w:rsidRPr="00ED368B">
        <w:rPr>
          <w:rFonts w:eastAsia="TimesNewRoman"/>
          <w:position w:val="-30"/>
          <w:sz w:val="28"/>
          <w:szCs w:val="28"/>
        </w:rPr>
        <w:object w:dxaOrig="680" w:dyaOrig="700" w14:anchorId="4EC6E5AC">
          <v:shape id="_x0000_i1026" type="#_x0000_t75" style="width:34.2pt;height:34.8pt" o:ole="">
            <v:imagedata r:id="rId6" o:title=""/>
          </v:shape>
          <o:OLEObject Type="Embed" ProgID="Equation.3" ShapeID="_x0000_i1026" DrawAspect="Content" ObjectID="_1646135569" r:id="rId7"/>
        </w:object>
      </w:r>
      <w:r w:rsidRPr="00ED368B"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, a по оси а</w:t>
      </w:r>
      <w:r>
        <w:rPr>
          <w:rFonts w:eastAsia="TimesNewRoman"/>
          <w:sz w:val="28"/>
          <w:szCs w:val="28"/>
        </w:rPr>
        <w:t>бсцисс – время ме</w:t>
      </w:r>
      <w:r w:rsidRPr="00BF51DC">
        <w:rPr>
          <w:rFonts w:eastAsia="TimesNewRoman"/>
          <w:sz w:val="28"/>
          <w:szCs w:val="28"/>
        </w:rPr>
        <w:t>жени (tм) и половодья (tп), в долях года, причем tм + tп = 1</w:t>
      </w:r>
    </w:p>
    <w:p w14:paraId="29597444" w14:textId="77777777" w:rsidR="002842B3" w:rsidRPr="009B3E47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67CE0E05" w14:textId="0E740C6E" w:rsidR="002842B3" w:rsidRPr="00ED368B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  <w:lang w:val="en-US"/>
        </w:rPr>
      </w:pPr>
      <w:r w:rsidRPr="00ED368B">
        <w:rPr>
          <w:rFonts w:eastAsia="TimesNewRoman"/>
          <w:noProof/>
          <w:sz w:val="28"/>
          <w:szCs w:val="28"/>
          <w:lang w:val="en-US"/>
        </w:rPr>
        <w:drawing>
          <wp:inline distT="0" distB="0" distL="0" distR="0" wp14:anchorId="3F65CB1B" wp14:editId="2B4B9A88">
            <wp:extent cx="5250180" cy="28270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CD44B" w14:textId="77777777" w:rsidR="002842B3" w:rsidRPr="00ED368B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  <w:lang w:val="en-US"/>
        </w:rPr>
      </w:pPr>
    </w:p>
    <w:p w14:paraId="0C693277" w14:textId="77777777" w:rsidR="002842B3" w:rsidRPr="00BF51DC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>
        <w:rPr>
          <w:rFonts w:eastAsia="TimesNewRoman"/>
          <w:sz w:val="28"/>
          <w:szCs w:val="28"/>
        </w:rPr>
        <w:t>Р</w:t>
      </w:r>
      <w:r w:rsidRPr="00BF51DC">
        <w:rPr>
          <w:rFonts w:eastAsia="TimesNewRoman"/>
          <w:sz w:val="28"/>
          <w:szCs w:val="28"/>
        </w:rPr>
        <w:t>ис</w:t>
      </w:r>
      <w:r>
        <w:rPr>
          <w:rFonts w:eastAsia="TimesNewRoman"/>
          <w:sz w:val="28"/>
          <w:szCs w:val="28"/>
        </w:rPr>
        <w:t>унок</w:t>
      </w:r>
      <w:r w:rsidRPr="00BF51DC">
        <w:rPr>
          <w:rFonts w:eastAsia="TimesNewRoman"/>
          <w:sz w:val="28"/>
          <w:szCs w:val="28"/>
        </w:rPr>
        <w:t xml:space="preserve"> 4.2.1</w:t>
      </w:r>
      <w:r>
        <w:rPr>
          <w:rFonts w:eastAsia="TimesNewRoman"/>
          <w:sz w:val="28"/>
          <w:szCs w:val="28"/>
        </w:rPr>
        <w:t>.</w:t>
      </w:r>
      <w:r w:rsidRPr="00ED368B"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Схема к расчету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сезонной составляющей объема водохранилища</w:t>
      </w:r>
    </w:p>
    <w:p w14:paraId="3AC1C451" w14:textId="77777777" w:rsidR="002842B3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36951D09" w14:textId="77777777" w:rsidR="002842B3" w:rsidRPr="00ED368B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Из схемы следует, что при Кpг = α</w:t>
      </w:r>
    </w:p>
    <w:p w14:paraId="1187B24C" w14:textId="77777777" w:rsidR="002842B3" w:rsidRPr="00ED368B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1DCFC0CA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  <w:lang w:val="en-US"/>
        </w:rPr>
      </w:pPr>
      <w:r w:rsidRPr="00BF51DC">
        <w:rPr>
          <w:rFonts w:eastAsia="TimesNewRoman"/>
          <w:sz w:val="28"/>
          <w:szCs w:val="28"/>
        </w:rPr>
        <w:t>βсез = АС – ВС. (4.6)</w:t>
      </w:r>
    </w:p>
    <w:p w14:paraId="4623BB2E" w14:textId="77777777" w:rsidR="002842B3" w:rsidRPr="00ED368B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  <w:lang w:val="en-US"/>
        </w:rPr>
      </w:pPr>
    </w:p>
    <w:p w14:paraId="63D0BD95" w14:textId="77777777" w:rsidR="002842B3" w:rsidRPr="00BF51DC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 </w:t>
      </w:r>
    </w:p>
    <w:p w14:paraId="5A05F038" w14:textId="77777777" w:rsidR="002842B3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 xml:space="preserve">Из подобия треугольников </w:t>
      </w:r>
      <w:r w:rsidRPr="00BF51DC">
        <w:rPr>
          <w:i/>
          <w:iCs/>
          <w:sz w:val="28"/>
          <w:szCs w:val="28"/>
        </w:rPr>
        <w:t xml:space="preserve">ODE </w:t>
      </w:r>
      <w:r w:rsidRPr="00BF51DC">
        <w:rPr>
          <w:rFonts w:eastAsia="TimesNewRoman"/>
          <w:sz w:val="28"/>
          <w:szCs w:val="28"/>
        </w:rPr>
        <w:t xml:space="preserve">и </w:t>
      </w:r>
      <w:r w:rsidRPr="00BF51DC">
        <w:rPr>
          <w:i/>
          <w:iCs/>
          <w:sz w:val="28"/>
          <w:szCs w:val="28"/>
        </w:rPr>
        <w:t xml:space="preserve">ОАС </w:t>
      </w:r>
      <w:r w:rsidRPr="00BF51DC">
        <w:rPr>
          <w:rFonts w:eastAsia="TimesNewRoman"/>
          <w:sz w:val="28"/>
          <w:szCs w:val="28"/>
        </w:rPr>
        <w:t>получаем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АС/tм = Kpг/I, откуда AC = Kpг· tм. Представляя </w:t>
      </w:r>
      <w:r w:rsidRPr="00BF51DC">
        <w:rPr>
          <w:i/>
          <w:iCs/>
          <w:sz w:val="28"/>
          <w:szCs w:val="28"/>
        </w:rPr>
        <w:t xml:space="preserve">ВС = </w:t>
      </w:r>
      <w:r w:rsidRPr="00BF51DC">
        <w:rPr>
          <w:rFonts w:eastAsia="TimesNewRoman"/>
          <w:sz w:val="28"/>
          <w:szCs w:val="28"/>
        </w:rPr>
        <w:t xml:space="preserve">Кρм · </w:t>
      </w:r>
      <w:r w:rsidRPr="00BF51DC">
        <w:rPr>
          <w:i/>
          <w:iCs/>
          <w:sz w:val="28"/>
          <w:szCs w:val="28"/>
        </w:rPr>
        <w:t>тм</w:t>
      </w:r>
      <w:r>
        <w:rPr>
          <w:i/>
          <w:iCs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 xml:space="preserve">и подставляя выражения для </w:t>
      </w:r>
      <w:r w:rsidRPr="00BF51DC">
        <w:rPr>
          <w:i/>
          <w:iCs/>
          <w:sz w:val="28"/>
          <w:szCs w:val="28"/>
        </w:rPr>
        <w:t xml:space="preserve">АС </w:t>
      </w:r>
      <w:r w:rsidRPr="00BF51DC">
        <w:rPr>
          <w:rFonts w:eastAsia="TimesNewRoman"/>
          <w:sz w:val="28"/>
          <w:szCs w:val="28"/>
        </w:rPr>
        <w:t xml:space="preserve">и </w:t>
      </w:r>
      <w:r w:rsidRPr="00BF51DC">
        <w:rPr>
          <w:i/>
          <w:iCs/>
          <w:sz w:val="28"/>
          <w:szCs w:val="28"/>
        </w:rPr>
        <w:t xml:space="preserve">ВС </w:t>
      </w:r>
      <w:r w:rsidRPr="00BF51DC">
        <w:rPr>
          <w:rFonts w:eastAsia="TimesNewRoman"/>
          <w:sz w:val="28"/>
          <w:szCs w:val="28"/>
        </w:rPr>
        <w:t>в формулу (4.6), получаем</w:t>
      </w:r>
    </w:p>
    <w:p w14:paraId="30DD6E2F" w14:textId="77777777" w:rsidR="002842B3" w:rsidRPr="00BF51DC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39D8D2BF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β</w:t>
      </w:r>
      <w:r w:rsidRPr="00ED368B">
        <w:rPr>
          <w:rFonts w:eastAsia="TimesNewRoman"/>
          <w:sz w:val="28"/>
          <w:szCs w:val="28"/>
          <w:vertAlign w:val="subscript"/>
        </w:rPr>
        <w:t>сез</w:t>
      </w:r>
      <w:r w:rsidRPr="00BF51DC">
        <w:rPr>
          <w:rFonts w:eastAsia="TimesNewRoman"/>
          <w:sz w:val="28"/>
          <w:szCs w:val="28"/>
        </w:rPr>
        <w:t xml:space="preserve"> = К</w:t>
      </w:r>
      <w:r w:rsidRPr="00ED368B">
        <w:rPr>
          <w:rFonts w:eastAsia="TimesNewRoman"/>
          <w:sz w:val="28"/>
          <w:szCs w:val="28"/>
          <w:vertAlign w:val="subscript"/>
        </w:rPr>
        <w:t>pг</w:t>
      </w:r>
      <w:r w:rsidRPr="00BF51DC">
        <w:rPr>
          <w:rFonts w:eastAsia="TimesNewRoman"/>
          <w:sz w:val="28"/>
          <w:szCs w:val="28"/>
        </w:rPr>
        <w:t>· t</w:t>
      </w:r>
      <w:r w:rsidRPr="00ED368B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 xml:space="preserve"> – K</w:t>
      </w:r>
      <w:r w:rsidRPr="00ED368B">
        <w:rPr>
          <w:rFonts w:eastAsia="TimesNewRoman"/>
          <w:sz w:val="28"/>
          <w:szCs w:val="28"/>
          <w:vertAlign w:val="subscript"/>
        </w:rPr>
        <w:t>pм</w:t>
      </w:r>
      <w:r w:rsidRPr="00BF51DC">
        <w:rPr>
          <w:rFonts w:eastAsia="TimesNewRoman"/>
          <w:sz w:val="28"/>
          <w:szCs w:val="28"/>
        </w:rPr>
        <w:t xml:space="preserve"> · </w:t>
      </w:r>
      <w:r w:rsidRPr="00ED368B">
        <w:rPr>
          <w:rFonts w:eastAsia="TimesNewRoman"/>
          <w:sz w:val="28"/>
          <w:szCs w:val="28"/>
          <w:vertAlign w:val="subscript"/>
        </w:rPr>
        <w:t>mм,</w:t>
      </w:r>
      <w:r w:rsidRPr="00BF51DC">
        <w:rPr>
          <w:rFonts w:eastAsia="TimesNewRoman"/>
          <w:sz w:val="28"/>
          <w:szCs w:val="28"/>
        </w:rPr>
        <w:t xml:space="preserve"> (4.7)</w:t>
      </w:r>
    </w:p>
    <w:p w14:paraId="4E19C2C7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4D521A85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К</w:t>
      </w:r>
      <w:r w:rsidRPr="00ED368B">
        <w:rPr>
          <w:rFonts w:eastAsia="TimesNewRoman"/>
          <w:sz w:val="28"/>
          <w:szCs w:val="28"/>
          <w:vertAlign w:val="subscript"/>
        </w:rPr>
        <w:t>рг</w:t>
      </w:r>
      <w:r w:rsidRPr="00BF51DC">
        <w:rPr>
          <w:rFonts w:eastAsia="TimesNewRoman"/>
          <w:sz w:val="28"/>
          <w:szCs w:val="28"/>
        </w:rPr>
        <w:t xml:space="preserve"> и К</w:t>
      </w:r>
      <w:r w:rsidRPr="00ED368B">
        <w:rPr>
          <w:rFonts w:eastAsia="TimesNewRoman"/>
          <w:sz w:val="28"/>
          <w:szCs w:val="28"/>
          <w:vertAlign w:val="subscript"/>
        </w:rPr>
        <w:t>рм</w:t>
      </w:r>
      <w:r w:rsidRPr="00BF51DC">
        <w:rPr>
          <w:rFonts w:eastAsia="TimesNewRoman"/>
          <w:sz w:val="28"/>
          <w:szCs w:val="28"/>
        </w:rPr>
        <w:t xml:space="preserve"> – модульные </w:t>
      </w:r>
      <w:r>
        <w:rPr>
          <w:rFonts w:eastAsia="TimesNewRoman"/>
          <w:sz w:val="28"/>
          <w:szCs w:val="28"/>
        </w:rPr>
        <w:t>коэффициенты годового и меженно</w:t>
      </w:r>
      <w:r w:rsidRPr="00BF51DC">
        <w:rPr>
          <w:rFonts w:eastAsia="TimesNewRoman"/>
          <w:sz w:val="28"/>
          <w:szCs w:val="28"/>
        </w:rPr>
        <w:t>го стока расчетной обеспеченности;</w:t>
      </w:r>
    </w:p>
    <w:p w14:paraId="61D02C11" w14:textId="77777777" w:rsidR="002842B3" w:rsidRPr="00BF51DC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i/>
          <w:iCs/>
          <w:sz w:val="28"/>
          <w:szCs w:val="28"/>
        </w:rPr>
        <w:t>т</w:t>
      </w:r>
      <w:r w:rsidRPr="00ED368B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 xml:space="preserve"> = W</w:t>
      </w:r>
      <w:r w:rsidRPr="00ED368B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>/W</w:t>
      </w:r>
      <w:r w:rsidRPr="00ED368B">
        <w:rPr>
          <w:rFonts w:eastAsia="TimesNewRoman"/>
          <w:sz w:val="28"/>
          <w:szCs w:val="28"/>
          <w:vertAlign w:val="subscript"/>
        </w:rPr>
        <w:t>0</w:t>
      </w:r>
      <w:r w:rsidRPr="00BF51DC">
        <w:rPr>
          <w:rFonts w:eastAsia="TimesNewRoman"/>
          <w:sz w:val="28"/>
          <w:szCs w:val="28"/>
        </w:rPr>
        <w:t xml:space="preserve"> </w:t>
      </w:r>
      <w:r w:rsidRPr="00BF51DC">
        <w:rPr>
          <w:i/>
          <w:iCs/>
          <w:sz w:val="28"/>
          <w:szCs w:val="28"/>
        </w:rPr>
        <w:t xml:space="preserve">– </w:t>
      </w:r>
      <w:r w:rsidRPr="00BF51DC">
        <w:rPr>
          <w:rFonts w:eastAsia="TimesNewRoman"/>
          <w:sz w:val="28"/>
          <w:szCs w:val="28"/>
        </w:rPr>
        <w:t>доля сред</w:t>
      </w:r>
      <w:r>
        <w:rPr>
          <w:rFonts w:eastAsia="TimesNewRoman"/>
          <w:sz w:val="28"/>
          <w:szCs w:val="28"/>
        </w:rPr>
        <w:t>него меженного стока в среднего</w:t>
      </w:r>
      <w:r w:rsidRPr="00BF51DC">
        <w:rPr>
          <w:rFonts w:eastAsia="TimesNewRoman"/>
          <w:sz w:val="28"/>
          <w:szCs w:val="28"/>
        </w:rPr>
        <w:t>довом.</w:t>
      </w:r>
    </w:p>
    <w:p w14:paraId="0A377A85" w14:textId="77777777" w:rsidR="002842B3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0D63FAD7" w14:textId="77777777" w:rsidR="002842B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равенстве коэфф</w:t>
      </w:r>
      <w:r>
        <w:rPr>
          <w:rFonts w:eastAsia="TimesNewRoman"/>
          <w:sz w:val="28"/>
          <w:szCs w:val="28"/>
        </w:rPr>
        <w:t>ициентов вариации Cvг и Cvм фор</w:t>
      </w:r>
      <w:r w:rsidRPr="00BF51DC">
        <w:rPr>
          <w:rFonts w:eastAsia="TimesNewRoman"/>
          <w:sz w:val="28"/>
          <w:szCs w:val="28"/>
        </w:rPr>
        <w:t>мула (4.7) примет более простой вид:</w:t>
      </w:r>
    </w:p>
    <w:p w14:paraId="4F9AB843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D9BB7FB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β</w:t>
      </w:r>
      <w:r w:rsidRPr="00794E4A">
        <w:rPr>
          <w:rFonts w:eastAsia="TimesNewRoman"/>
          <w:sz w:val="28"/>
          <w:szCs w:val="28"/>
          <w:vertAlign w:val="subscript"/>
        </w:rPr>
        <w:t>сез</w:t>
      </w:r>
      <w:r w:rsidRPr="00BF51DC">
        <w:rPr>
          <w:rFonts w:eastAsia="TimesNewRoman"/>
          <w:sz w:val="28"/>
          <w:szCs w:val="28"/>
        </w:rPr>
        <w:t xml:space="preserve"> = α (t</w:t>
      </w:r>
      <w:r w:rsidRPr="00794E4A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 xml:space="preserve"> – m</w:t>
      </w:r>
      <w:r w:rsidRPr="00794E4A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>). (4.8)</w:t>
      </w:r>
    </w:p>
    <w:p w14:paraId="59EE09A0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1BF41944" w14:textId="77777777" w:rsidR="002842B3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Для предельного случая – полного использования стока,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т.е. когда α = 1,0</w:t>
      </w:r>
    </w:p>
    <w:p w14:paraId="7E7A0CE2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2B4D295F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β</w:t>
      </w:r>
      <w:r w:rsidRPr="00794E4A">
        <w:rPr>
          <w:rFonts w:eastAsia="TimesNewRoman"/>
          <w:sz w:val="28"/>
          <w:szCs w:val="28"/>
          <w:vertAlign w:val="subscript"/>
        </w:rPr>
        <w:t>се</w:t>
      </w:r>
      <w:r w:rsidRPr="00BF51DC">
        <w:rPr>
          <w:rFonts w:eastAsia="TimesNewRoman"/>
          <w:sz w:val="28"/>
          <w:szCs w:val="28"/>
        </w:rPr>
        <w:t>з = t</w:t>
      </w:r>
      <w:r w:rsidRPr="00794E4A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 xml:space="preserve"> – m</w:t>
      </w:r>
      <w:r w:rsidRPr="00794E4A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>. (4.9)</w:t>
      </w:r>
    </w:p>
    <w:p w14:paraId="4A38F14F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Для определения вели</w:t>
      </w:r>
      <w:r>
        <w:rPr>
          <w:rFonts w:eastAsia="TimesNewRoman"/>
          <w:sz w:val="28"/>
          <w:szCs w:val="28"/>
        </w:rPr>
        <w:t>чин mм и tм необходимо проанали</w:t>
      </w:r>
      <w:r w:rsidRPr="00BF51DC">
        <w:rPr>
          <w:rFonts w:eastAsia="TimesNewRoman"/>
          <w:sz w:val="28"/>
          <w:szCs w:val="28"/>
        </w:rPr>
        <w:t>зировать типичное распредел</w:t>
      </w:r>
      <w:r>
        <w:rPr>
          <w:rFonts w:eastAsia="TimesNewRoman"/>
          <w:sz w:val="28"/>
          <w:szCs w:val="28"/>
        </w:rPr>
        <w:t>ение стока по сезонам для много</w:t>
      </w:r>
      <w:r w:rsidRPr="00BF51DC">
        <w:rPr>
          <w:rFonts w:eastAsia="TimesNewRoman"/>
          <w:sz w:val="28"/>
          <w:szCs w:val="28"/>
        </w:rPr>
        <w:t>водных, средних и маловодных лет.</w:t>
      </w:r>
    </w:p>
    <w:p w14:paraId="058E4EB3" w14:textId="77777777" w:rsidR="002842B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При неравномерной отдаче, например, сосредоточенной в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период вегетации, расчет по приведенным выше формулам дает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заниженные результаты. В этом случае сезонную составляющую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объема можно приближенно определить по зависимости</w:t>
      </w:r>
    </w:p>
    <w:p w14:paraId="3F6DEB30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76E4792F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β</w:t>
      </w:r>
      <w:r w:rsidRPr="00794E4A">
        <w:rPr>
          <w:rFonts w:eastAsia="TimesNewRoman"/>
          <w:sz w:val="28"/>
          <w:szCs w:val="28"/>
          <w:vertAlign w:val="subscript"/>
        </w:rPr>
        <w:t>cез</w:t>
      </w:r>
      <w:r w:rsidRPr="00BF51DC">
        <w:rPr>
          <w:rFonts w:eastAsia="TimesNewRoman"/>
          <w:sz w:val="28"/>
          <w:szCs w:val="28"/>
        </w:rPr>
        <w:t xml:space="preserve"> = α</w:t>
      </w:r>
      <w:r w:rsidRPr="00794E4A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 xml:space="preserve"> t</w:t>
      </w:r>
      <w:r w:rsidRPr="00794E4A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 xml:space="preserve"> – α m</w:t>
      </w:r>
      <w:r w:rsidRPr="00794E4A">
        <w:rPr>
          <w:i/>
          <w:iCs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>, (4.10)</w:t>
      </w:r>
    </w:p>
    <w:p w14:paraId="3609FDBB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3857B9F0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α</w:t>
      </w:r>
      <w:r w:rsidRPr="00794E4A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 xml:space="preserve"> – коэффициент регулирования стока за межень, т.е.</w:t>
      </w:r>
      <w:r>
        <w:rPr>
          <w:rFonts w:eastAsia="TimesNewRoman"/>
          <w:sz w:val="28"/>
          <w:szCs w:val="28"/>
        </w:rPr>
        <w:t xml:space="preserve"> </w:t>
      </w:r>
      <w:r w:rsidRPr="00BF51DC">
        <w:rPr>
          <w:rFonts w:eastAsia="TimesNewRoman"/>
          <w:sz w:val="28"/>
          <w:szCs w:val="28"/>
        </w:rPr>
        <w:t>α</w:t>
      </w:r>
      <w:r w:rsidRPr="00794E4A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 xml:space="preserve"> = U</w:t>
      </w:r>
      <w:r w:rsidRPr="00794E4A">
        <w:rPr>
          <w:rFonts w:eastAsia="TimesNewRoman"/>
          <w:sz w:val="28"/>
          <w:szCs w:val="28"/>
          <w:vertAlign w:val="subscript"/>
        </w:rPr>
        <w:t>м</w:t>
      </w:r>
      <w:r w:rsidRPr="00BF51DC">
        <w:rPr>
          <w:rFonts w:eastAsia="TimesNewRoman"/>
          <w:sz w:val="28"/>
          <w:szCs w:val="28"/>
        </w:rPr>
        <w:t>/ W</w:t>
      </w:r>
      <w:r w:rsidRPr="00794E4A">
        <w:rPr>
          <w:rFonts w:eastAsia="TimesNewRoman"/>
          <w:sz w:val="28"/>
          <w:szCs w:val="28"/>
          <w:vertAlign w:val="subscript"/>
        </w:rPr>
        <w:t>0</w:t>
      </w:r>
      <w:r w:rsidRPr="00BF51DC">
        <w:rPr>
          <w:rFonts w:eastAsia="TimesNewRoman"/>
          <w:sz w:val="28"/>
          <w:szCs w:val="28"/>
        </w:rPr>
        <w:t>;</w:t>
      </w:r>
    </w:p>
    <w:p w14:paraId="1884FF36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α – коэффициент регулирования стока за год.</w:t>
      </w:r>
    </w:p>
    <w:p w14:paraId="413F77FC" w14:textId="77777777" w:rsidR="002842B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Если К= α, и полная отд</w:t>
      </w:r>
      <w:r>
        <w:rPr>
          <w:rFonts w:eastAsia="TimesNewRoman"/>
          <w:sz w:val="28"/>
          <w:szCs w:val="28"/>
        </w:rPr>
        <w:t>ача происходит за период вегета</w:t>
      </w:r>
      <w:r w:rsidRPr="00BF51DC">
        <w:rPr>
          <w:rFonts w:eastAsia="TimesNewRoman"/>
          <w:sz w:val="28"/>
          <w:szCs w:val="28"/>
        </w:rPr>
        <w:t>ции, например при ороше</w:t>
      </w:r>
      <w:r>
        <w:rPr>
          <w:rFonts w:eastAsia="TimesNewRoman"/>
          <w:sz w:val="28"/>
          <w:szCs w:val="28"/>
        </w:rPr>
        <w:t>нии, сезонно-годичную составляю</w:t>
      </w:r>
      <w:r w:rsidRPr="00BF51DC">
        <w:rPr>
          <w:rFonts w:eastAsia="TimesNewRoman"/>
          <w:sz w:val="28"/>
          <w:szCs w:val="28"/>
        </w:rPr>
        <w:t>щую приближенно определяют по уравнению</w:t>
      </w:r>
    </w:p>
    <w:p w14:paraId="3AEACF52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</w:p>
    <w:p w14:paraId="5D204F49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βсез = α (1 – m</w:t>
      </w:r>
      <w:r w:rsidRPr="00794E4A">
        <w:rPr>
          <w:rFonts w:eastAsia="TimesNewRoman"/>
          <w:sz w:val="28"/>
          <w:szCs w:val="28"/>
          <w:vertAlign w:val="subscript"/>
        </w:rPr>
        <w:t>в</w:t>
      </w:r>
      <w:r w:rsidRPr="00BF51DC">
        <w:rPr>
          <w:rFonts w:eastAsia="TimesNewRoman"/>
          <w:sz w:val="28"/>
          <w:szCs w:val="28"/>
        </w:rPr>
        <w:t>), (4.11)</w:t>
      </w:r>
    </w:p>
    <w:p w14:paraId="3B8E7CD6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6457E4FF" w14:textId="77777777" w:rsidR="002842B3" w:rsidRPr="00BF51DC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m</w:t>
      </w:r>
      <w:r w:rsidRPr="00794E4A">
        <w:rPr>
          <w:rFonts w:eastAsia="TimesNewRoman"/>
          <w:sz w:val="28"/>
          <w:szCs w:val="28"/>
          <w:vertAlign w:val="subscript"/>
        </w:rPr>
        <w:t>в</w:t>
      </w:r>
      <w:r w:rsidRPr="00BF51DC">
        <w:rPr>
          <w:rFonts w:eastAsia="TimesNewRoman"/>
          <w:sz w:val="28"/>
          <w:szCs w:val="28"/>
        </w:rPr>
        <w:t xml:space="preserve"> – доля стока периода вегетации от годового.</w:t>
      </w:r>
    </w:p>
    <w:p w14:paraId="1AF900E0" w14:textId="77777777" w:rsidR="002842B3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Для временных водотоков</w:t>
      </w:r>
      <w:r>
        <w:rPr>
          <w:rFonts w:eastAsia="TimesNewRoman"/>
          <w:sz w:val="28"/>
          <w:szCs w:val="28"/>
        </w:rPr>
        <w:t>, когда весь сток проходит в по</w:t>
      </w:r>
      <w:r w:rsidRPr="00BF51DC">
        <w:rPr>
          <w:rFonts w:eastAsia="TimesNewRoman"/>
          <w:sz w:val="28"/>
          <w:szCs w:val="28"/>
        </w:rPr>
        <w:t>ловодье, сезонную составл</w:t>
      </w:r>
      <w:r>
        <w:rPr>
          <w:rFonts w:eastAsia="TimesNewRoman"/>
          <w:sz w:val="28"/>
          <w:szCs w:val="28"/>
        </w:rPr>
        <w:t>яющую полезного объема определя</w:t>
      </w:r>
      <w:r w:rsidRPr="00BF51DC">
        <w:rPr>
          <w:rFonts w:eastAsia="TimesNewRoman"/>
          <w:sz w:val="28"/>
          <w:szCs w:val="28"/>
        </w:rPr>
        <w:t>ют по формуле М.В. Потапова:</w:t>
      </w:r>
    </w:p>
    <w:p w14:paraId="5DA35CFA" w14:textId="77777777" w:rsidR="002842B3" w:rsidRPr="00BF51DC" w:rsidRDefault="002842B3" w:rsidP="002842B3">
      <w:pPr>
        <w:autoSpaceDE w:val="0"/>
        <w:autoSpaceDN w:val="0"/>
        <w:adjustRightInd w:val="0"/>
        <w:jc w:val="both"/>
        <w:rPr>
          <w:rFonts w:eastAsia="TimesNewRoman"/>
          <w:sz w:val="28"/>
          <w:szCs w:val="28"/>
        </w:rPr>
      </w:pPr>
    </w:p>
    <w:p w14:paraId="5F32C739" w14:textId="77777777" w:rsidR="002842B3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β</w:t>
      </w:r>
      <w:r w:rsidRPr="00794E4A">
        <w:rPr>
          <w:rFonts w:eastAsia="TimesNewRoman"/>
          <w:sz w:val="28"/>
          <w:szCs w:val="28"/>
          <w:vertAlign w:val="subscript"/>
        </w:rPr>
        <w:t>сез</w:t>
      </w:r>
      <w:r w:rsidRPr="00BF51DC">
        <w:rPr>
          <w:rFonts w:eastAsia="TimesNewRoman"/>
          <w:sz w:val="28"/>
          <w:szCs w:val="28"/>
        </w:rPr>
        <w:t xml:space="preserve"> = αβ</w:t>
      </w:r>
      <w:r w:rsidRPr="00794E4A">
        <w:rPr>
          <w:rFonts w:eastAsia="TimesNewRoman"/>
          <w:sz w:val="28"/>
          <w:szCs w:val="28"/>
          <w:vertAlign w:val="subscript"/>
        </w:rPr>
        <w:t>0</w:t>
      </w:r>
      <w:r w:rsidRPr="00BF51DC">
        <w:rPr>
          <w:rFonts w:eastAsia="TimesNewRoman"/>
          <w:sz w:val="28"/>
          <w:szCs w:val="28"/>
        </w:rPr>
        <w:t>, (4.12)</w:t>
      </w:r>
    </w:p>
    <w:p w14:paraId="3A11BED5" w14:textId="77777777" w:rsidR="002842B3" w:rsidRPr="00BF51DC" w:rsidRDefault="002842B3" w:rsidP="002842B3">
      <w:pPr>
        <w:autoSpaceDE w:val="0"/>
        <w:autoSpaceDN w:val="0"/>
        <w:adjustRightInd w:val="0"/>
        <w:jc w:val="center"/>
        <w:rPr>
          <w:rFonts w:eastAsia="TimesNewRoman"/>
          <w:sz w:val="28"/>
          <w:szCs w:val="28"/>
        </w:rPr>
      </w:pPr>
    </w:p>
    <w:p w14:paraId="55D2C526" w14:textId="77777777" w:rsidR="002842B3" w:rsidRDefault="002842B3" w:rsidP="002842B3">
      <w:pPr>
        <w:autoSpaceDE w:val="0"/>
        <w:autoSpaceDN w:val="0"/>
        <w:adjustRightInd w:val="0"/>
        <w:ind w:firstLine="708"/>
        <w:jc w:val="both"/>
        <w:rPr>
          <w:rFonts w:eastAsia="TimesNewRoman"/>
          <w:sz w:val="28"/>
          <w:szCs w:val="28"/>
        </w:rPr>
      </w:pPr>
      <w:r w:rsidRPr="00BF51DC">
        <w:rPr>
          <w:rFonts w:eastAsia="TimesNewRoman"/>
          <w:sz w:val="28"/>
          <w:szCs w:val="28"/>
        </w:rPr>
        <w:t>где β</w:t>
      </w:r>
      <w:r w:rsidRPr="00794E4A">
        <w:rPr>
          <w:rFonts w:eastAsia="TimesNewRoman"/>
          <w:sz w:val="28"/>
          <w:szCs w:val="28"/>
          <w:vertAlign w:val="subscript"/>
        </w:rPr>
        <w:t>0</w:t>
      </w:r>
      <w:r w:rsidRPr="00BF51DC">
        <w:rPr>
          <w:rFonts w:eastAsia="TimesNewRoman"/>
          <w:sz w:val="28"/>
          <w:szCs w:val="28"/>
        </w:rPr>
        <w:t xml:space="preserve"> – коэффициент объ</w:t>
      </w:r>
      <w:r>
        <w:rPr>
          <w:rFonts w:eastAsia="TimesNewRoman"/>
          <w:sz w:val="28"/>
          <w:szCs w:val="28"/>
        </w:rPr>
        <w:t>ема, соответствующий полному ис</w:t>
      </w:r>
      <w:r w:rsidRPr="00BF51DC">
        <w:rPr>
          <w:rFonts w:eastAsia="TimesNewRoman"/>
          <w:sz w:val="28"/>
          <w:szCs w:val="28"/>
        </w:rPr>
        <w:t xml:space="preserve">пользованию среднемноголетнего </w:t>
      </w:r>
      <w:r>
        <w:rPr>
          <w:rFonts w:eastAsia="TimesNewRoman"/>
          <w:sz w:val="28"/>
          <w:szCs w:val="28"/>
        </w:rPr>
        <w:t>стока со средним распределе</w:t>
      </w:r>
      <w:r w:rsidRPr="00BF51DC">
        <w:rPr>
          <w:rFonts w:eastAsia="TimesNewRoman"/>
          <w:sz w:val="28"/>
          <w:szCs w:val="28"/>
        </w:rPr>
        <w:t>нием его по сезонам.</w:t>
      </w:r>
    </w:p>
    <w:p w14:paraId="3D6219C3" w14:textId="77777777" w:rsidR="007F4009" w:rsidRPr="002842B3" w:rsidRDefault="007F4009">
      <w:pPr>
        <w:rPr>
          <w:sz w:val="28"/>
          <w:szCs w:val="28"/>
        </w:rPr>
      </w:pPr>
      <w:bookmarkStart w:id="0" w:name="_GoBack"/>
      <w:bookmarkEnd w:id="0"/>
    </w:p>
    <w:sectPr w:rsidR="007F4009" w:rsidRPr="002842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A53"/>
    <w:rsid w:val="002842B3"/>
    <w:rsid w:val="007F4009"/>
    <w:rsid w:val="00827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7F909D-AB5E-4407-958E-B56FFA86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842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918</Words>
  <Characters>5235</Characters>
  <Application>Microsoft Office Word</Application>
  <DocSecurity>0</DocSecurity>
  <Lines>43</Lines>
  <Paragraphs>12</Paragraphs>
  <ScaleCrop>false</ScaleCrop>
  <Company/>
  <LinksUpToDate>false</LinksUpToDate>
  <CharactersWithSpaces>6141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2020-03-19T09:06:00Z</dcterms:created>
  <dcterms:modified xsi:type="dcterms:W3CDTF">2020-03-19T09:06:00Z</dcterms:modified>
</cp:coreProperties>
</file>